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79" w:rsidRDefault="00D92179" w:rsidP="00436EA5">
      <w:pPr>
        <w:spacing w:after="0" w:line="240" w:lineRule="auto"/>
        <w:jc w:val="center"/>
        <w:rPr>
          <w:b/>
          <w:sz w:val="28"/>
          <w:szCs w:val="28"/>
        </w:rPr>
      </w:pPr>
    </w:p>
    <w:p w:rsidR="00FF43E3" w:rsidRDefault="00D41F3F" w:rsidP="003411C9">
      <w:pPr>
        <w:spacing w:before="40" w:after="0" w:line="24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142240</wp:posOffset>
            </wp:positionV>
            <wp:extent cx="2522543" cy="6629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3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3E3" w:rsidRDefault="00FF43E3" w:rsidP="003411C9">
      <w:pPr>
        <w:spacing w:before="40" w:after="0" w:line="240" w:lineRule="auto"/>
        <w:jc w:val="center"/>
        <w:rPr>
          <w:b/>
          <w:i/>
          <w:sz w:val="28"/>
          <w:szCs w:val="28"/>
        </w:rPr>
      </w:pPr>
    </w:p>
    <w:p w:rsidR="00FF43E3" w:rsidRDefault="00FF43E3" w:rsidP="00FF43E3">
      <w:pPr>
        <w:rPr>
          <w:rFonts w:ascii="Script MT Bold" w:hAnsi="Script MT Bold"/>
          <w:color w:val="095FDD"/>
          <w:sz w:val="24"/>
          <w:szCs w:val="24"/>
          <w:lang w:val="fr-FR"/>
        </w:rPr>
      </w:pPr>
    </w:p>
    <w:p w:rsidR="00FF43E3" w:rsidRDefault="00FF43E3" w:rsidP="00FF43E3">
      <w:pPr>
        <w:spacing w:before="40" w:after="0" w:line="240" w:lineRule="auto"/>
        <w:rPr>
          <w:b/>
          <w:i/>
          <w:sz w:val="28"/>
          <w:szCs w:val="28"/>
        </w:rPr>
      </w:pPr>
    </w:p>
    <w:p w:rsidR="00F33D07" w:rsidRPr="003626EC" w:rsidRDefault="00005B18" w:rsidP="003411C9">
      <w:pPr>
        <w:spacing w:before="40" w:after="0" w:line="240" w:lineRule="auto"/>
        <w:jc w:val="center"/>
        <w:rPr>
          <w:b/>
          <w:i/>
          <w:sz w:val="28"/>
          <w:szCs w:val="28"/>
        </w:rPr>
      </w:pPr>
      <w:r w:rsidRPr="003626EC">
        <w:rPr>
          <w:b/>
          <w:i/>
          <w:sz w:val="28"/>
          <w:szCs w:val="28"/>
        </w:rPr>
        <w:t xml:space="preserve">Résumé des normes et </w:t>
      </w:r>
      <w:r w:rsidR="0031409E" w:rsidRPr="003626EC">
        <w:rPr>
          <w:b/>
          <w:i/>
          <w:sz w:val="28"/>
          <w:szCs w:val="28"/>
        </w:rPr>
        <w:t>modalités d’évaluation des apprentissages</w:t>
      </w:r>
    </w:p>
    <w:tbl>
      <w:tblPr>
        <w:tblStyle w:val="Grilledutableau"/>
        <w:tblpPr w:leftFromText="141" w:rightFromText="141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1944"/>
        <w:gridCol w:w="7452"/>
      </w:tblGrid>
      <w:tr w:rsidR="00DF7CA0" w:rsidTr="00DF7CA0">
        <w:tc>
          <w:tcPr>
            <w:tcW w:w="9546" w:type="dxa"/>
            <w:gridSpan w:val="2"/>
            <w:shd w:val="clear" w:color="auto" w:fill="B8CCE4" w:themeFill="accent1" w:themeFillTint="66"/>
          </w:tcPr>
          <w:p w:rsidR="00DF7CA0" w:rsidRPr="00265C02" w:rsidRDefault="00DF7CA0" w:rsidP="00A57AF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65C02">
              <w:rPr>
                <w:b/>
                <w:sz w:val="28"/>
                <w:szCs w:val="28"/>
              </w:rPr>
              <w:t>Communications officielles de l’année</w:t>
            </w:r>
            <w:r w:rsidR="00436EA5">
              <w:rPr>
                <w:b/>
                <w:sz w:val="28"/>
                <w:szCs w:val="28"/>
              </w:rPr>
              <w:t xml:space="preserve"> 20</w:t>
            </w:r>
            <w:r w:rsidR="00D41F3F">
              <w:rPr>
                <w:b/>
                <w:sz w:val="28"/>
                <w:szCs w:val="28"/>
              </w:rPr>
              <w:t>22-2023</w:t>
            </w:r>
          </w:p>
        </w:tc>
      </w:tr>
      <w:tr w:rsidR="00DF7CA0" w:rsidTr="00DF7CA0">
        <w:tc>
          <w:tcPr>
            <w:tcW w:w="1951" w:type="dxa"/>
            <w:vAlign w:val="center"/>
          </w:tcPr>
          <w:p w:rsidR="00DF7CA0" w:rsidRDefault="00DF7CA0" w:rsidP="00DF7CA0">
            <w:pPr>
              <w:rPr>
                <w:b/>
              </w:rPr>
            </w:pPr>
            <w:r w:rsidRPr="0021235A">
              <w:rPr>
                <w:b/>
              </w:rPr>
              <w:t>Première communication</w:t>
            </w:r>
          </w:p>
          <w:p w:rsidR="006B71E4" w:rsidRPr="0021235A" w:rsidRDefault="006B71E4" w:rsidP="00DF7CA0">
            <w:pPr>
              <w:rPr>
                <w:b/>
              </w:rPr>
            </w:pPr>
            <w:proofErr w:type="gramStart"/>
            <w:r>
              <w:rPr>
                <w:b/>
              </w:rPr>
              <w:t>écrite</w:t>
            </w:r>
            <w:proofErr w:type="gramEnd"/>
          </w:p>
        </w:tc>
        <w:tc>
          <w:tcPr>
            <w:tcW w:w="7595" w:type="dxa"/>
          </w:tcPr>
          <w:p w:rsidR="00DF7CA0" w:rsidRDefault="00987383" w:rsidP="00C26A9A">
            <w:pPr>
              <w:jc w:val="both"/>
            </w:pPr>
            <w:r>
              <w:t>Pour les classes de la 1</w:t>
            </w:r>
            <w:r w:rsidRPr="00987383">
              <w:rPr>
                <w:vertAlign w:val="superscript"/>
              </w:rPr>
              <w:t>re</w:t>
            </w:r>
            <w:r>
              <w:t xml:space="preserve"> à la 6</w:t>
            </w:r>
            <w:r w:rsidRPr="00987383">
              <w:rPr>
                <w:vertAlign w:val="superscript"/>
              </w:rPr>
              <w:t>e</w:t>
            </w:r>
            <w:r>
              <w:t xml:space="preserve"> année, </w:t>
            </w:r>
            <w:r w:rsidR="00DF7CA0" w:rsidRPr="00F13E77">
              <w:t>une première communica</w:t>
            </w:r>
            <w:r w:rsidR="003626EC">
              <w:t xml:space="preserve">tion portant </w:t>
            </w:r>
            <w:r>
              <w:t>sur le cheminement des</w:t>
            </w:r>
            <w:r w:rsidR="00DF7CA0" w:rsidRPr="00F13E77">
              <w:t xml:space="preserve"> apprentissages et le comportement </w:t>
            </w:r>
            <w:r w:rsidR="007C3673" w:rsidRPr="00F13E77">
              <w:t>de</w:t>
            </w:r>
            <w:r w:rsidR="00BB0F83">
              <w:t xml:space="preserve"> votre </w:t>
            </w:r>
            <w:r w:rsidR="00436EA5">
              <w:t xml:space="preserve">enfant </w:t>
            </w:r>
            <w:r w:rsidR="003626EC">
              <w:t>sera disponible</w:t>
            </w:r>
            <w:r w:rsidR="00C26A9A">
              <w:t xml:space="preserve"> </w:t>
            </w:r>
            <w:r w:rsidR="00436EA5">
              <w:t>à compter du 1</w:t>
            </w:r>
            <w:r w:rsidR="00D41F3F">
              <w:t>4</w:t>
            </w:r>
            <w:r w:rsidR="00436EA5">
              <w:t xml:space="preserve"> octobre 20</w:t>
            </w:r>
            <w:r w:rsidR="00D41F3F">
              <w:t>22</w:t>
            </w:r>
            <w:r w:rsidR="003626EC">
              <w:t xml:space="preserve"> via le portail </w:t>
            </w:r>
            <w:proofErr w:type="spellStart"/>
            <w:r w:rsidR="003626EC">
              <w:t>Mozaïk</w:t>
            </w:r>
            <w:proofErr w:type="spellEnd"/>
            <w:r w:rsidR="003626EC">
              <w:t xml:space="preserve"> parents</w:t>
            </w:r>
            <w:r>
              <w:t>. Pour le préscolaire, une communication écri</w:t>
            </w:r>
            <w:r w:rsidR="00436EA5">
              <w:t>te vous sera transmise.</w:t>
            </w:r>
          </w:p>
        </w:tc>
      </w:tr>
      <w:tr w:rsidR="00DF7CA0" w:rsidTr="00DF7CA0">
        <w:tc>
          <w:tcPr>
            <w:tcW w:w="1951" w:type="dxa"/>
            <w:vAlign w:val="center"/>
          </w:tcPr>
          <w:p w:rsidR="00DF7CA0" w:rsidRPr="0021235A" w:rsidRDefault="00DF7CA0" w:rsidP="00DF7CA0">
            <w:pPr>
              <w:rPr>
                <w:b/>
              </w:rPr>
            </w:pPr>
            <w:r w:rsidRPr="0021235A">
              <w:rPr>
                <w:b/>
              </w:rPr>
              <w:t>Premier bulletin</w:t>
            </w:r>
          </w:p>
        </w:tc>
        <w:tc>
          <w:tcPr>
            <w:tcW w:w="7595" w:type="dxa"/>
          </w:tcPr>
          <w:p w:rsidR="00BF5E53" w:rsidRDefault="00DF7CA0" w:rsidP="00B970BF">
            <w:pPr>
              <w:jc w:val="both"/>
            </w:pPr>
            <w:r>
              <w:t xml:space="preserve">Le </w:t>
            </w:r>
            <w:r w:rsidR="004D18C5">
              <w:t xml:space="preserve">premier </w:t>
            </w:r>
            <w:r w:rsidR="00B970BF">
              <w:t>bulletin sera disponible en ligne</w:t>
            </w:r>
            <w:r w:rsidR="004D18C5">
              <w:t xml:space="preserve"> </w:t>
            </w:r>
            <w:r w:rsidR="004D18C5" w:rsidRPr="003626EC">
              <w:t xml:space="preserve">le </w:t>
            </w:r>
            <w:r w:rsidR="003626EC" w:rsidRPr="003626EC">
              <w:t>2</w:t>
            </w:r>
            <w:r w:rsidR="00D41F3F">
              <w:t>1 novembre 2022</w:t>
            </w:r>
            <w:r w:rsidRPr="003626EC">
              <w:t xml:space="preserve">. Ce bulletin couvrira la période du </w:t>
            </w:r>
            <w:r w:rsidR="003626EC" w:rsidRPr="003626EC">
              <w:t>3</w:t>
            </w:r>
            <w:r w:rsidR="00D41F3F">
              <w:t>0 août</w:t>
            </w:r>
            <w:r w:rsidR="003626EC" w:rsidRPr="003626EC">
              <w:t xml:space="preserve"> au 1</w:t>
            </w:r>
            <w:r w:rsidR="00D41F3F">
              <w:t>0</w:t>
            </w:r>
            <w:r w:rsidRPr="003626EC">
              <w:t xml:space="preserve"> novembre </w:t>
            </w:r>
            <w:r w:rsidR="003626EC" w:rsidRPr="003626EC">
              <w:t>20</w:t>
            </w:r>
            <w:r w:rsidR="00D41F3F">
              <w:t>22</w:t>
            </w:r>
            <w:r w:rsidR="00636F40" w:rsidRPr="003626EC">
              <w:t xml:space="preserve"> </w:t>
            </w:r>
            <w:r w:rsidRPr="003626EC">
              <w:t xml:space="preserve">et comptera pour </w:t>
            </w:r>
            <w:r w:rsidRPr="003626EC">
              <w:rPr>
                <w:b/>
              </w:rPr>
              <w:t>20% du résultat final</w:t>
            </w:r>
            <w:r w:rsidRPr="003626EC">
              <w:t xml:space="preserve"> de l’année.</w:t>
            </w:r>
            <w:r w:rsidR="00B970BF" w:rsidRPr="003626EC">
              <w:t xml:space="preserve"> Une visite de parents aura lieu </w:t>
            </w:r>
            <w:r w:rsidR="00D41F3F">
              <w:t xml:space="preserve">dans la semaine du 21 novembre. </w:t>
            </w:r>
          </w:p>
        </w:tc>
      </w:tr>
      <w:tr w:rsidR="00DF7CA0" w:rsidTr="00DF7CA0">
        <w:tc>
          <w:tcPr>
            <w:tcW w:w="1951" w:type="dxa"/>
            <w:vAlign w:val="center"/>
          </w:tcPr>
          <w:p w:rsidR="00DF7CA0" w:rsidRPr="0021235A" w:rsidRDefault="00DF7CA0" w:rsidP="00DF7CA0">
            <w:pPr>
              <w:rPr>
                <w:b/>
              </w:rPr>
            </w:pPr>
            <w:r w:rsidRPr="0021235A">
              <w:rPr>
                <w:b/>
              </w:rPr>
              <w:t>Deuxième bulletin</w:t>
            </w:r>
          </w:p>
        </w:tc>
        <w:tc>
          <w:tcPr>
            <w:tcW w:w="7595" w:type="dxa"/>
          </w:tcPr>
          <w:p w:rsidR="00BF5E53" w:rsidRDefault="00DF7CA0" w:rsidP="00E70194">
            <w:pPr>
              <w:jc w:val="both"/>
            </w:pPr>
            <w:r>
              <w:t xml:space="preserve">Le deuxième bulletin </w:t>
            </w:r>
            <w:r w:rsidR="00B970BF">
              <w:t xml:space="preserve">sera disponible en ligne le </w:t>
            </w:r>
            <w:r w:rsidR="003626EC" w:rsidRPr="003626EC">
              <w:t>2</w:t>
            </w:r>
            <w:r w:rsidR="00D41F3F">
              <w:t xml:space="preserve"> mars 2022</w:t>
            </w:r>
            <w:r w:rsidRPr="003626EC">
              <w:t>. Ce bu</w:t>
            </w:r>
            <w:r w:rsidR="00B970BF" w:rsidRPr="003626EC">
              <w:t xml:space="preserve">lletin couvrira la période du </w:t>
            </w:r>
            <w:r w:rsidR="00D41F3F">
              <w:t>14 novembre au 17 février</w:t>
            </w:r>
            <w:r w:rsidR="00AC5CE7" w:rsidRPr="003626EC">
              <w:t xml:space="preserve"> </w:t>
            </w:r>
            <w:r w:rsidRPr="003626EC">
              <w:t xml:space="preserve">et comptera pour </w:t>
            </w:r>
            <w:r w:rsidRPr="003626EC">
              <w:rPr>
                <w:b/>
              </w:rPr>
              <w:t>20% du résultat final</w:t>
            </w:r>
            <w:r w:rsidRPr="003626EC">
              <w:t xml:space="preserve"> de l’année</w:t>
            </w:r>
            <w:r w:rsidR="00F13E77" w:rsidRPr="003626EC">
              <w:t xml:space="preserve">. </w:t>
            </w:r>
            <w:r w:rsidR="00A91FB3" w:rsidRPr="003626EC">
              <w:t>Les parents des élèves cheminant</w:t>
            </w:r>
            <w:r w:rsidR="002E6EBF" w:rsidRPr="003626EC">
              <w:t xml:space="preserve"> avec difficulté </w:t>
            </w:r>
            <w:r w:rsidR="00987383" w:rsidRPr="003626EC">
              <w:t xml:space="preserve">ou ayant des besoins particuliers </w:t>
            </w:r>
            <w:r w:rsidR="002E6EBF" w:rsidRPr="003626EC">
              <w:t>sero</w:t>
            </w:r>
            <w:r w:rsidR="00712B95" w:rsidRPr="003626EC">
              <w:t>nt</w:t>
            </w:r>
            <w:r w:rsidR="00A91FB3" w:rsidRPr="003626EC">
              <w:t xml:space="preserve"> conviés </w:t>
            </w:r>
            <w:r w:rsidR="005B22E1" w:rsidRPr="003626EC">
              <w:t xml:space="preserve">à une rencontre </w:t>
            </w:r>
            <w:r w:rsidR="002E6EBF" w:rsidRPr="003626EC">
              <w:t>par l’enseignant(e) de leur</w:t>
            </w:r>
            <w:r w:rsidR="00A91FB3" w:rsidRPr="003626EC">
              <w:t xml:space="preserve"> enfant </w:t>
            </w:r>
            <w:r w:rsidR="00D41F3F">
              <w:t>dans la semaine du 27 février 2023</w:t>
            </w:r>
            <w:r w:rsidR="00A91FB3" w:rsidRPr="003626EC">
              <w:t>.</w:t>
            </w:r>
          </w:p>
        </w:tc>
      </w:tr>
      <w:tr w:rsidR="00DF7CA0" w:rsidTr="00DF7CA0">
        <w:tc>
          <w:tcPr>
            <w:tcW w:w="1951" w:type="dxa"/>
            <w:vAlign w:val="center"/>
          </w:tcPr>
          <w:p w:rsidR="00DF7CA0" w:rsidRPr="0021235A" w:rsidRDefault="00DF7CA0" w:rsidP="00DF7CA0">
            <w:pPr>
              <w:rPr>
                <w:b/>
              </w:rPr>
            </w:pPr>
            <w:r w:rsidRPr="0021235A">
              <w:rPr>
                <w:b/>
              </w:rPr>
              <w:t>Troisième bulletin</w:t>
            </w:r>
          </w:p>
        </w:tc>
        <w:tc>
          <w:tcPr>
            <w:tcW w:w="7595" w:type="dxa"/>
          </w:tcPr>
          <w:p w:rsidR="00DF7CA0" w:rsidRDefault="00DF7CA0" w:rsidP="00784773">
            <w:r>
              <w:t xml:space="preserve">Le troisième bulletin </w:t>
            </w:r>
            <w:r w:rsidR="00B970BF">
              <w:t xml:space="preserve">sera disponible en </w:t>
            </w:r>
            <w:r w:rsidR="00B970BF" w:rsidRPr="003626EC">
              <w:t xml:space="preserve">ligne le </w:t>
            </w:r>
            <w:r w:rsidR="00D41F3F">
              <w:t>28 juin 2023</w:t>
            </w:r>
            <w:r w:rsidRPr="003626EC">
              <w:t>. Il couvrira la pér</w:t>
            </w:r>
            <w:r w:rsidR="00636F40" w:rsidRPr="003626EC">
              <w:t xml:space="preserve">iode s’échelonnant </w:t>
            </w:r>
            <w:r w:rsidR="00B970BF" w:rsidRPr="003626EC">
              <w:t>du</w:t>
            </w:r>
            <w:r w:rsidR="00D41F3F">
              <w:t xml:space="preserve"> 20</w:t>
            </w:r>
            <w:r w:rsidR="003626EC" w:rsidRPr="003626EC">
              <w:t xml:space="preserve"> février au 2</w:t>
            </w:r>
            <w:r w:rsidR="00D41F3F">
              <w:t>2</w:t>
            </w:r>
            <w:r w:rsidR="00B970BF" w:rsidRPr="003626EC">
              <w:t xml:space="preserve"> juin </w:t>
            </w:r>
            <w:r w:rsidR="003626EC" w:rsidRPr="003626EC">
              <w:t>202</w:t>
            </w:r>
            <w:r w:rsidR="00D41F3F">
              <w:t>3</w:t>
            </w:r>
            <w:r w:rsidR="00636F40" w:rsidRPr="003626EC">
              <w:t xml:space="preserve"> </w:t>
            </w:r>
            <w:r w:rsidRPr="003626EC">
              <w:t>et comptera</w:t>
            </w:r>
            <w:r w:rsidRPr="00E06CE9">
              <w:t xml:space="preserve"> pour </w:t>
            </w:r>
            <w:r w:rsidRPr="003626EC">
              <w:rPr>
                <w:b/>
              </w:rPr>
              <w:t>60% du résultat final</w:t>
            </w:r>
            <w:r w:rsidRPr="003626EC">
              <w:t xml:space="preserve"> de l’année.</w:t>
            </w:r>
          </w:p>
        </w:tc>
      </w:tr>
    </w:tbl>
    <w:p w:rsidR="006D6F24" w:rsidRPr="003626EC" w:rsidRDefault="006D6F24" w:rsidP="00675870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26EC">
        <w:rPr>
          <w:b/>
          <w:i/>
          <w:sz w:val="28"/>
          <w:szCs w:val="28"/>
        </w:rPr>
        <w:t>Année scolaire 20</w:t>
      </w:r>
      <w:r w:rsidR="00D41F3F">
        <w:rPr>
          <w:b/>
          <w:i/>
          <w:sz w:val="28"/>
          <w:szCs w:val="28"/>
        </w:rPr>
        <w:t>22-2023</w:t>
      </w:r>
    </w:p>
    <w:p w:rsidR="003411C9" w:rsidRDefault="003411C9" w:rsidP="00675870">
      <w:pPr>
        <w:spacing w:after="0" w:line="240" w:lineRule="auto"/>
        <w:jc w:val="center"/>
        <w:rPr>
          <w:b/>
          <w:sz w:val="28"/>
          <w:szCs w:val="28"/>
        </w:rPr>
      </w:pPr>
    </w:p>
    <w:p w:rsidR="003411C9" w:rsidRPr="00675870" w:rsidRDefault="003411C9" w:rsidP="0067587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8"/>
        <w:gridCol w:w="1951"/>
        <w:gridCol w:w="1525"/>
        <w:gridCol w:w="3292"/>
      </w:tblGrid>
      <w:tr w:rsidR="00183FD6" w:rsidTr="00A57AFD">
        <w:tc>
          <w:tcPr>
            <w:tcW w:w="9396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83FD6" w:rsidRPr="00A565CA" w:rsidRDefault="00C074C2" w:rsidP="00A57AF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565CA">
              <w:rPr>
                <w:b/>
                <w:sz w:val="28"/>
                <w:szCs w:val="28"/>
              </w:rPr>
              <w:t>Principales évaluations</w:t>
            </w:r>
          </w:p>
        </w:tc>
      </w:tr>
      <w:tr w:rsidR="00183FD6" w:rsidTr="00A57AFD">
        <w:tc>
          <w:tcPr>
            <w:tcW w:w="4579" w:type="dxa"/>
            <w:gridSpan w:val="2"/>
            <w:shd w:val="clear" w:color="auto" w:fill="C4BC96" w:themeFill="background2" w:themeFillShade="BF"/>
          </w:tcPr>
          <w:p w:rsidR="00183FD6" w:rsidRPr="00A565CA" w:rsidRDefault="00C074C2" w:rsidP="00C074C2">
            <w:pPr>
              <w:jc w:val="center"/>
              <w:rPr>
                <w:b/>
                <w:sz w:val="24"/>
                <w:szCs w:val="24"/>
              </w:rPr>
            </w:pPr>
            <w:r w:rsidRPr="00A565CA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4817" w:type="dxa"/>
            <w:gridSpan w:val="2"/>
            <w:shd w:val="clear" w:color="auto" w:fill="C4BC96" w:themeFill="background2" w:themeFillShade="BF"/>
          </w:tcPr>
          <w:p w:rsidR="00183FD6" w:rsidRPr="00E06CE9" w:rsidRDefault="00C074C2" w:rsidP="00C074C2">
            <w:pPr>
              <w:jc w:val="center"/>
              <w:rPr>
                <w:b/>
                <w:sz w:val="24"/>
                <w:szCs w:val="24"/>
              </w:rPr>
            </w:pPr>
            <w:r w:rsidRPr="00E06CE9">
              <w:rPr>
                <w:b/>
                <w:sz w:val="24"/>
                <w:szCs w:val="24"/>
              </w:rPr>
              <w:t>Mathématique</w:t>
            </w:r>
          </w:p>
        </w:tc>
      </w:tr>
      <w:tr w:rsidR="00C074C2" w:rsidTr="00A57AFD">
        <w:tc>
          <w:tcPr>
            <w:tcW w:w="4579" w:type="dxa"/>
            <w:gridSpan w:val="2"/>
          </w:tcPr>
          <w:p w:rsidR="003626EC" w:rsidRDefault="00C407D4" w:rsidP="00D92179">
            <w:pPr>
              <w:spacing w:before="80"/>
              <w:jc w:val="both"/>
            </w:pPr>
            <w:r w:rsidRPr="003626EC">
              <w:t>À la fin</w:t>
            </w:r>
            <w:r w:rsidR="00C074C2" w:rsidRPr="003626EC">
              <w:t xml:space="preserve"> de chaque étape, les élèves seront évalués </w:t>
            </w:r>
            <w:r w:rsidR="00AE2507" w:rsidRPr="003626EC">
              <w:t>en lecture et en écriture</w:t>
            </w:r>
            <w:r w:rsidR="003626EC" w:rsidRPr="003626EC">
              <w:t>.</w:t>
            </w:r>
            <w:r w:rsidR="003626EC">
              <w:t xml:space="preserve"> </w:t>
            </w:r>
          </w:p>
          <w:p w:rsidR="00F01157" w:rsidRPr="003626EC" w:rsidRDefault="00E06CE9" w:rsidP="00D92179">
            <w:pPr>
              <w:spacing w:before="80"/>
              <w:jc w:val="both"/>
            </w:pPr>
            <w:r w:rsidRPr="003626EC">
              <w:t>La communication orale</w:t>
            </w:r>
            <w:r w:rsidR="003626EC" w:rsidRPr="003626EC">
              <w:t xml:space="preserve"> sera évaluée aux étapes 2 et 3.</w:t>
            </w:r>
          </w:p>
          <w:p w:rsidR="00E06CE9" w:rsidRPr="003626EC" w:rsidRDefault="00E06CE9" w:rsidP="00D92179">
            <w:pPr>
              <w:spacing w:before="80"/>
              <w:jc w:val="both"/>
              <w:rPr>
                <w:sz w:val="20"/>
                <w:szCs w:val="20"/>
              </w:rPr>
            </w:pPr>
          </w:p>
          <w:p w:rsidR="00C074C2" w:rsidRPr="00436EA5" w:rsidRDefault="00C074C2" w:rsidP="00D92179">
            <w:pPr>
              <w:spacing w:before="80"/>
              <w:jc w:val="both"/>
              <w:rPr>
                <w:b/>
                <w:highlight w:val="yellow"/>
              </w:rPr>
            </w:pPr>
          </w:p>
        </w:tc>
        <w:tc>
          <w:tcPr>
            <w:tcW w:w="4817" w:type="dxa"/>
            <w:gridSpan w:val="2"/>
          </w:tcPr>
          <w:p w:rsidR="003A0CA3" w:rsidRDefault="00E06CE9" w:rsidP="003626EC">
            <w:pPr>
              <w:spacing w:before="80"/>
              <w:jc w:val="both"/>
            </w:pPr>
            <w:r w:rsidRPr="003626EC">
              <w:t>En mathématique, les élèves de la 1</w:t>
            </w:r>
            <w:r w:rsidRPr="003626EC">
              <w:rPr>
                <w:vertAlign w:val="superscript"/>
              </w:rPr>
              <w:t>re</w:t>
            </w:r>
            <w:r w:rsidRPr="003626EC">
              <w:t xml:space="preserve"> à la 6</w:t>
            </w:r>
            <w:r w:rsidRPr="003626EC">
              <w:rPr>
                <w:vertAlign w:val="superscript"/>
              </w:rPr>
              <w:t>e</w:t>
            </w:r>
            <w:r w:rsidRPr="003626EC">
              <w:t xml:space="preserve"> année seront </w:t>
            </w:r>
            <w:r w:rsidR="0000486A" w:rsidRPr="003626EC">
              <w:t>évalués à toutes les étapes à</w:t>
            </w:r>
            <w:r w:rsidRPr="003626EC">
              <w:t xml:space="preserve"> la compétence « Utiliser un raisonnement mathématique ».</w:t>
            </w:r>
          </w:p>
          <w:p w:rsidR="003626EC" w:rsidRPr="003626EC" w:rsidRDefault="003626EC" w:rsidP="003626EC">
            <w:pPr>
              <w:spacing w:before="80"/>
              <w:jc w:val="both"/>
            </w:pPr>
          </w:p>
          <w:p w:rsidR="00E06CE9" w:rsidRPr="003626EC" w:rsidRDefault="00E06CE9" w:rsidP="00D92179">
            <w:pPr>
              <w:spacing w:before="40"/>
              <w:jc w:val="both"/>
            </w:pPr>
            <w:r w:rsidRPr="003626EC">
              <w:t xml:space="preserve">Pour la compétence « Résoudre une situation-problème », les élèves </w:t>
            </w:r>
            <w:r w:rsidR="0000486A" w:rsidRPr="003626EC">
              <w:t>seront éval</w:t>
            </w:r>
            <w:r w:rsidR="003626EC" w:rsidRPr="003626EC">
              <w:t>ués seulement aux étapes 2 et 3.</w:t>
            </w:r>
          </w:p>
          <w:p w:rsidR="00494D93" w:rsidRPr="00436EA5" w:rsidRDefault="00494D93" w:rsidP="00D92179">
            <w:pPr>
              <w:spacing w:before="4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57AFD" w:rsidTr="00A57AFD">
        <w:tc>
          <w:tcPr>
            <w:tcW w:w="9396" w:type="dxa"/>
            <w:gridSpan w:val="4"/>
            <w:shd w:val="clear" w:color="auto" w:fill="B8CCE4" w:themeFill="accent1" w:themeFillTint="66"/>
          </w:tcPr>
          <w:p w:rsidR="00A57AFD" w:rsidRDefault="00A57AFD" w:rsidP="00A57AFD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Commentaires sur les apprentissages</w:t>
            </w:r>
          </w:p>
          <w:p w:rsidR="00A57AFD" w:rsidRPr="003A0CA3" w:rsidRDefault="00A57AFD" w:rsidP="00A57AFD">
            <w:pPr>
              <w:spacing w:before="20" w:after="60"/>
              <w:jc w:val="center"/>
              <w:rPr>
                <w:b/>
              </w:rPr>
            </w:pPr>
            <w:r w:rsidRPr="00817BA3">
              <w:rPr>
                <w:b/>
                <w:sz w:val="24"/>
                <w:szCs w:val="24"/>
              </w:rPr>
              <w:t>Préscolaire</w:t>
            </w:r>
            <w:r>
              <w:rPr>
                <w:b/>
                <w:sz w:val="24"/>
                <w:szCs w:val="24"/>
              </w:rPr>
              <w:t>,</w:t>
            </w:r>
            <w:r w:rsidRPr="00817BA3">
              <w:rPr>
                <w:b/>
                <w:sz w:val="24"/>
                <w:szCs w:val="24"/>
              </w:rPr>
              <w:t xml:space="preserve"> 1</w:t>
            </w:r>
            <w:r w:rsidRPr="00817BA3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>, 2</w:t>
            </w:r>
            <w:r w:rsidRPr="00665BF1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7BA3">
              <w:rPr>
                <w:b/>
                <w:sz w:val="24"/>
                <w:szCs w:val="24"/>
              </w:rPr>
              <w:t>et 3</w:t>
            </w:r>
            <w:r w:rsidRPr="00817BA3">
              <w:rPr>
                <w:b/>
                <w:sz w:val="24"/>
                <w:szCs w:val="24"/>
                <w:vertAlign w:val="superscript"/>
              </w:rPr>
              <w:t>e</w:t>
            </w:r>
            <w:r w:rsidRPr="00817BA3">
              <w:rPr>
                <w:b/>
                <w:sz w:val="24"/>
                <w:szCs w:val="24"/>
              </w:rPr>
              <w:t xml:space="preserve"> cycle</w:t>
            </w:r>
          </w:p>
        </w:tc>
      </w:tr>
      <w:tr w:rsidR="00A57AFD" w:rsidTr="00700473">
        <w:tc>
          <w:tcPr>
            <w:tcW w:w="9396" w:type="dxa"/>
            <w:gridSpan w:val="4"/>
          </w:tcPr>
          <w:p w:rsidR="00A57AFD" w:rsidRPr="00E70194" w:rsidRDefault="00A57AFD" w:rsidP="00A57AFD">
            <w:pPr>
              <w:spacing w:before="40"/>
              <w:jc w:val="both"/>
            </w:pPr>
            <w:r>
              <w:t>D</w:t>
            </w:r>
            <w:r w:rsidRPr="00E70194">
              <w:t xml:space="preserve">es </w:t>
            </w:r>
            <w:r>
              <w:t xml:space="preserve">commentaires liés aux forces, aux défis et aux progrès de votre </w:t>
            </w:r>
            <w:r w:rsidRPr="00E70194">
              <w:t>enfant seront notés au bulletin.</w:t>
            </w:r>
          </w:p>
          <w:p w:rsidR="00A57AFD" w:rsidRDefault="00A57AFD" w:rsidP="00A57AFD">
            <w:pPr>
              <w:jc w:val="both"/>
            </w:pPr>
            <w:r>
              <w:t xml:space="preserve">De plus, différents moyens pourront être utilisés pour favoriser la communication avec vous : </w:t>
            </w:r>
          </w:p>
          <w:p w:rsidR="00436EA5" w:rsidRPr="00A57AFD" w:rsidRDefault="00A57AFD" w:rsidP="00436EA5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>
              <w:t>Annotations dans l’agenda scolaire ou autre carnet d’informat</w:t>
            </w:r>
            <w:r w:rsidR="00436EA5">
              <w:t>ion, appels téléphoniques, rencontres individualisée</w:t>
            </w:r>
            <w:r w:rsidR="003626EC">
              <w:t xml:space="preserve">s, travaux envoyés à la maison ou </w:t>
            </w:r>
            <w:r w:rsidR="00436EA5">
              <w:t>autres traces jugées pertinentes par l’enseignant(e)</w:t>
            </w:r>
            <w:r w:rsidR="003626EC">
              <w:t>.</w:t>
            </w:r>
          </w:p>
        </w:tc>
      </w:tr>
      <w:tr w:rsidR="00A57AFD" w:rsidTr="0079294E">
        <w:tc>
          <w:tcPr>
            <w:tcW w:w="9396" w:type="dxa"/>
            <w:gridSpan w:val="4"/>
          </w:tcPr>
          <w:p w:rsidR="00A57AFD" w:rsidRPr="003A0CA3" w:rsidRDefault="00A57AFD" w:rsidP="003626EC">
            <w:pPr>
              <w:spacing w:before="40" w:after="120"/>
              <w:jc w:val="both"/>
              <w:rPr>
                <w:b/>
              </w:rPr>
            </w:pPr>
            <w:r w:rsidRPr="00300BF9">
              <w:rPr>
                <w:b/>
              </w:rPr>
              <w:t>Précision :</w:t>
            </w:r>
            <w:r>
              <w:rPr>
                <w:b/>
              </w:rPr>
              <w:t xml:space="preserve"> </w:t>
            </w:r>
            <w:r>
              <w:t>Si des changements importants sont apportés en cours d’année à ce qui est prévu en matière d’évaluation de</w:t>
            </w:r>
            <w:r w:rsidR="00436EA5">
              <w:t>s apprentissages</w:t>
            </w:r>
            <w:r>
              <w:t xml:space="preserve">, nous vous en informerons. Pour toute autre information au sujet de l’évaluation, n’hésitez pas à </w:t>
            </w:r>
            <w:r w:rsidRPr="00E70194">
              <w:t>communiquer avec l’enseignant</w:t>
            </w:r>
            <w:r>
              <w:t>(e) de votre enfant.</w:t>
            </w:r>
          </w:p>
        </w:tc>
      </w:tr>
      <w:tr w:rsidR="00A57AFD" w:rsidTr="00A57AFD">
        <w:tc>
          <w:tcPr>
            <w:tcW w:w="9396" w:type="dxa"/>
            <w:gridSpan w:val="4"/>
            <w:shd w:val="clear" w:color="auto" w:fill="B8CCE4" w:themeFill="accent1" w:themeFillTint="66"/>
          </w:tcPr>
          <w:p w:rsidR="00A57AFD" w:rsidRPr="00A57AFD" w:rsidRDefault="00A57AFD" w:rsidP="00A57AFD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A57AFD">
              <w:rPr>
                <w:b/>
                <w:i/>
                <w:sz w:val="28"/>
                <w:szCs w:val="28"/>
              </w:rPr>
              <w:t xml:space="preserve">Épreuves obligatoires de fin </w:t>
            </w:r>
            <w:r w:rsidR="00436EA5">
              <w:rPr>
                <w:b/>
                <w:i/>
                <w:sz w:val="28"/>
                <w:szCs w:val="28"/>
              </w:rPr>
              <w:t>d’année (dès le mois de mai 202</w:t>
            </w:r>
            <w:r w:rsidR="00A12EA5">
              <w:rPr>
                <w:b/>
                <w:i/>
                <w:sz w:val="28"/>
                <w:szCs w:val="28"/>
              </w:rPr>
              <w:t>3</w:t>
            </w:r>
            <w:r w:rsidRPr="00A57AFD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D6F24" w:rsidRPr="006910E1" w:rsidTr="00A57AFD">
        <w:tc>
          <w:tcPr>
            <w:tcW w:w="2628" w:type="dxa"/>
            <w:vMerge w:val="restart"/>
            <w:vAlign w:val="center"/>
          </w:tcPr>
          <w:p w:rsidR="00D037EC" w:rsidRDefault="006D6F24" w:rsidP="00365858">
            <w:pPr>
              <w:rPr>
                <w:rFonts w:cs="Arial"/>
                <w:b/>
                <w:color w:val="000000"/>
                <w:shd w:val="clear" w:color="auto" w:fill="FFFFFF"/>
              </w:rPr>
            </w:pPr>
            <w:r w:rsidRPr="00AE2507">
              <w:rPr>
                <w:b/>
              </w:rPr>
              <w:t xml:space="preserve">Épreuves obligatoires du </w:t>
            </w:r>
            <w:r w:rsidR="00365858">
              <w:rPr>
                <w:rFonts w:cs="Arial"/>
                <w:b/>
                <w:color w:val="000000"/>
                <w:shd w:val="clear" w:color="auto" w:fill="FFFFFF"/>
              </w:rPr>
              <w:t>M</w:t>
            </w:r>
            <w:r w:rsidR="00D037EC">
              <w:rPr>
                <w:rFonts w:cs="Arial"/>
                <w:b/>
                <w:color w:val="000000"/>
                <w:shd w:val="clear" w:color="auto" w:fill="FFFFFF"/>
              </w:rPr>
              <w:t>inistère de l'Éducation</w:t>
            </w:r>
          </w:p>
          <w:p w:rsidR="006D6F24" w:rsidRPr="00AE2507" w:rsidRDefault="00365858" w:rsidP="00365858">
            <w:pPr>
              <w:rPr>
                <w:b/>
              </w:rPr>
            </w:pPr>
            <w:proofErr w:type="gramStart"/>
            <w:r>
              <w:rPr>
                <w:rFonts w:cs="Arial"/>
                <w:b/>
                <w:color w:val="000000"/>
                <w:shd w:val="clear" w:color="auto" w:fill="FFFFFF"/>
              </w:rPr>
              <w:t>et</w:t>
            </w:r>
            <w:proofErr w:type="gramEnd"/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de l'Enseignement supérieur</w:t>
            </w:r>
          </w:p>
        </w:tc>
        <w:tc>
          <w:tcPr>
            <w:tcW w:w="3476" w:type="dxa"/>
            <w:gridSpan w:val="2"/>
            <w:shd w:val="clear" w:color="auto" w:fill="B8CCE4" w:themeFill="accent1" w:themeFillTint="66"/>
          </w:tcPr>
          <w:p w:rsidR="006D6F24" w:rsidRPr="00A565CA" w:rsidRDefault="006D6F24" w:rsidP="008C5FC4">
            <w:pPr>
              <w:jc w:val="center"/>
              <w:rPr>
                <w:b/>
                <w:sz w:val="24"/>
                <w:szCs w:val="24"/>
              </w:rPr>
            </w:pPr>
            <w:r w:rsidRPr="00A565CA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D6F24" w:rsidRPr="00A565CA" w:rsidRDefault="006D6F24" w:rsidP="008C5FC4">
            <w:pPr>
              <w:jc w:val="center"/>
              <w:rPr>
                <w:b/>
                <w:sz w:val="24"/>
                <w:szCs w:val="24"/>
              </w:rPr>
            </w:pPr>
            <w:r w:rsidRPr="00A565CA">
              <w:rPr>
                <w:b/>
                <w:sz w:val="24"/>
                <w:szCs w:val="24"/>
              </w:rPr>
              <w:t>Mathématique</w:t>
            </w:r>
          </w:p>
        </w:tc>
      </w:tr>
      <w:tr w:rsidR="006D6F24" w:rsidRPr="00FC2BBF" w:rsidTr="00A57AFD">
        <w:trPr>
          <w:trHeight w:val="1131"/>
        </w:trPr>
        <w:tc>
          <w:tcPr>
            <w:tcW w:w="2628" w:type="dxa"/>
            <w:vMerge/>
            <w:tcBorders>
              <w:bottom w:val="double" w:sz="4" w:space="0" w:color="auto"/>
            </w:tcBorders>
            <w:vAlign w:val="center"/>
          </w:tcPr>
          <w:p w:rsidR="006D6F24" w:rsidRPr="003303C4" w:rsidRDefault="006D6F24" w:rsidP="008C5FC4">
            <w:pPr>
              <w:rPr>
                <w:b/>
              </w:rPr>
            </w:pPr>
          </w:p>
        </w:tc>
        <w:tc>
          <w:tcPr>
            <w:tcW w:w="3476" w:type="dxa"/>
            <w:gridSpan w:val="2"/>
            <w:tcBorders>
              <w:bottom w:val="double" w:sz="4" w:space="0" w:color="auto"/>
            </w:tcBorders>
          </w:tcPr>
          <w:p w:rsidR="003626EC" w:rsidRDefault="003626EC" w:rsidP="008C5FC4">
            <w:pPr>
              <w:rPr>
                <w:b/>
              </w:rPr>
            </w:pPr>
            <w:r>
              <w:rPr>
                <w:b/>
              </w:rPr>
              <w:t>Lecture et écriture</w:t>
            </w:r>
          </w:p>
          <w:p w:rsidR="003626EC" w:rsidRDefault="003626EC" w:rsidP="008C5FC4">
            <w:pPr>
              <w:rPr>
                <w:b/>
              </w:rPr>
            </w:pPr>
            <w:r>
              <w:rPr>
                <w:b/>
              </w:rPr>
              <w:t>F</w:t>
            </w:r>
            <w:r w:rsidR="006D6F24" w:rsidRPr="0000486A">
              <w:rPr>
                <w:b/>
              </w:rPr>
              <w:t>in du 2</w:t>
            </w:r>
            <w:r w:rsidR="006D6F24" w:rsidRPr="0000486A">
              <w:rPr>
                <w:b/>
                <w:vertAlign w:val="superscript"/>
              </w:rPr>
              <w:t>e</w:t>
            </w:r>
            <w:r w:rsidR="006D6F24" w:rsidRPr="0000486A">
              <w:rPr>
                <w:b/>
              </w:rPr>
              <w:t xml:space="preserve"> </w:t>
            </w:r>
            <w:r w:rsidR="00D037EC" w:rsidRPr="0000486A">
              <w:rPr>
                <w:b/>
              </w:rPr>
              <w:t xml:space="preserve">cycle </w:t>
            </w:r>
            <w:r w:rsidR="006D6F24" w:rsidRPr="0000486A">
              <w:rPr>
                <w:b/>
              </w:rPr>
              <w:t>(4</w:t>
            </w:r>
            <w:r w:rsidR="006D6F24" w:rsidRPr="0000486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année)</w:t>
            </w:r>
          </w:p>
          <w:p w:rsidR="006D6F24" w:rsidRPr="0000486A" w:rsidRDefault="003626EC" w:rsidP="008C5FC4">
            <w:r>
              <w:rPr>
                <w:b/>
              </w:rPr>
              <w:t>Fin du 3</w:t>
            </w:r>
            <w:r w:rsidRPr="003626E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="006D6F24" w:rsidRPr="0000486A">
              <w:rPr>
                <w:b/>
              </w:rPr>
              <w:t>cycle (6</w:t>
            </w:r>
            <w:r w:rsidR="006D6F24" w:rsidRPr="0000486A">
              <w:rPr>
                <w:b/>
                <w:vertAlign w:val="superscript"/>
              </w:rPr>
              <w:t>e</w:t>
            </w:r>
            <w:r w:rsidR="006D6F24" w:rsidRPr="0000486A">
              <w:rPr>
                <w:b/>
              </w:rPr>
              <w:t xml:space="preserve"> </w:t>
            </w:r>
            <w:r w:rsidR="00D037EC" w:rsidRPr="0000486A">
              <w:rPr>
                <w:b/>
              </w:rPr>
              <w:t>a</w:t>
            </w:r>
            <w:r w:rsidR="006D6F24" w:rsidRPr="0000486A">
              <w:rPr>
                <w:b/>
              </w:rPr>
              <w:t>nnée)</w:t>
            </w:r>
          </w:p>
          <w:p w:rsidR="006D6F24" w:rsidRPr="003626EC" w:rsidRDefault="006D6F24" w:rsidP="008C5FC4">
            <w:pPr>
              <w:rPr>
                <w:i/>
              </w:rPr>
            </w:pPr>
            <w:r w:rsidRPr="003626EC">
              <w:rPr>
                <w:i/>
              </w:rPr>
              <w:t>Administrées</w:t>
            </w:r>
            <w:r w:rsidR="00636F40" w:rsidRPr="003626EC">
              <w:rPr>
                <w:i/>
              </w:rPr>
              <w:t xml:space="preserve"> à la fin de l’année scolaire, c</w:t>
            </w:r>
            <w:r w:rsidRPr="003626EC">
              <w:rPr>
                <w:i/>
              </w:rPr>
              <w:t xml:space="preserve">elles-ci compteront pour </w:t>
            </w:r>
            <w:r w:rsidR="008F60A9">
              <w:rPr>
                <w:i/>
              </w:rPr>
              <w:t>1</w:t>
            </w:r>
            <w:r w:rsidRPr="003626EC">
              <w:rPr>
                <w:b/>
                <w:i/>
              </w:rPr>
              <w:t>0%</w:t>
            </w:r>
            <w:r w:rsidRPr="003626EC">
              <w:rPr>
                <w:i/>
              </w:rPr>
              <w:t xml:space="preserve"> du résultat final.</w:t>
            </w:r>
          </w:p>
        </w:tc>
        <w:tc>
          <w:tcPr>
            <w:tcW w:w="3292" w:type="dxa"/>
            <w:tcBorders>
              <w:bottom w:val="double" w:sz="4" w:space="0" w:color="auto"/>
            </w:tcBorders>
          </w:tcPr>
          <w:p w:rsidR="006D6F24" w:rsidRPr="0000486A" w:rsidRDefault="006D6F24" w:rsidP="008C5FC4">
            <w:r w:rsidRPr="0000486A">
              <w:rPr>
                <w:b/>
              </w:rPr>
              <w:t>Fin du 3</w:t>
            </w:r>
            <w:r w:rsidRPr="0000486A">
              <w:rPr>
                <w:b/>
                <w:vertAlign w:val="superscript"/>
              </w:rPr>
              <w:t>e</w:t>
            </w:r>
            <w:r w:rsidRPr="0000486A">
              <w:rPr>
                <w:b/>
              </w:rPr>
              <w:t xml:space="preserve"> cycle (6</w:t>
            </w:r>
            <w:r w:rsidRPr="0000486A">
              <w:rPr>
                <w:b/>
                <w:vertAlign w:val="superscript"/>
              </w:rPr>
              <w:t>e</w:t>
            </w:r>
            <w:r w:rsidRPr="0000486A">
              <w:rPr>
                <w:b/>
              </w:rPr>
              <w:t xml:space="preserve"> année)</w:t>
            </w:r>
          </w:p>
          <w:p w:rsidR="006D6F24" w:rsidRPr="003626EC" w:rsidRDefault="006D6F24" w:rsidP="008C5FC4">
            <w:pPr>
              <w:rPr>
                <w:i/>
              </w:rPr>
            </w:pPr>
            <w:r w:rsidRPr="003626EC">
              <w:rPr>
                <w:i/>
              </w:rPr>
              <w:t>Administrées</w:t>
            </w:r>
            <w:r w:rsidR="00636F40" w:rsidRPr="003626EC">
              <w:rPr>
                <w:i/>
              </w:rPr>
              <w:t xml:space="preserve"> à la fin de l’année scolaire, c</w:t>
            </w:r>
            <w:r w:rsidRPr="003626EC">
              <w:rPr>
                <w:i/>
              </w:rPr>
              <w:t xml:space="preserve">elles-ci compteront pour </w:t>
            </w:r>
            <w:r w:rsidR="008F60A9">
              <w:rPr>
                <w:i/>
              </w:rPr>
              <w:t>1</w:t>
            </w:r>
            <w:r w:rsidRPr="003626EC">
              <w:rPr>
                <w:b/>
                <w:i/>
              </w:rPr>
              <w:t>0%</w:t>
            </w:r>
            <w:r w:rsidRPr="003626EC">
              <w:rPr>
                <w:i/>
              </w:rPr>
              <w:t xml:space="preserve"> du résultat final.</w:t>
            </w:r>
          </w:p>
        </w:tc>
      </w:tr>
      <w:tr w:rsidR="006D6F24" w:rsidTr="00A57AFD"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6D6F24" w:rsidRDefault="00365858" w:rsidP="008C5FC4">
            <w:pPr>
              <w:rPr>
                <w:b/>
              </w:rPr>
            </w:pPr>
            <w:r>
              <w:rPr>
                <w:b/>
              </w:rPr>
              <w:t>Épreuves obligatoires d</w:t>
            </w:r>
            <w:r w:rsidR="003F2DD3">
              <w:rPr>
                <w:b/>
              </w:rPr>
              <w:t xml:space="preserve">u Centre de services scolaire </w:t>
            </w:r>
            <w:r w:rsidR="006D6F24">
              <w:rPr>
                <w:b/>
              </w:rPr>
              <w:t>des Draveurs</w:t>
            </w:r>
          </w:p>
          <w:p w:rsidR="006D6F24" w:rsidRPr="003303C4" w:rsidRDefault="006D6F24" w:rsidP="008C5FC4">
            <w:pPr>
              <w:rPr>
                <w:b/>
              </w:rPr>
            </w:pPr>
          </w:p>
        </w:tc>
        <w:tc>
          <w:tcPr>
            <w:tcW w:w="34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D6F24" w:rsidRPr="006910E1" w:rsidRDefault="006D6F24" w:rsidP="008C5FC4">
            <w:pPr>
              <w:rPr>
                <w:b/>
              </w:rPr>
            </w:pPr>
          </w:p>
        </w:tc>
        <w:tc>
          <w:tcPr>
            <w:tcW w:w="3292" w:type="dxa"/>
            <w:tcBorders>
              <w:top w:val="double" w:sz="4" w:space="0" w:color="auto"/>
            </w:tcBorders>
          </w:tcPr>
          <w:p w:rsidR="006D6F24" w:rsidRDefault="00133E73" w:rsidP="008C5FC4">
            <w:r>
              <w:rPr>
                <w:b/>
              </w:rPr>
              <w:t xml:space="preserve">Fin </w:t>
            </w:r>
            <w:r w:rsidR="006D6F24" w:rsidRPr="00B51BD8">
              <w:rPr>
                <w:b/>
              </w:rPr>
              <w:t>du 2</w:t>
            </w:r>
            <w:r w:rsidR="006D6F24" w:rsidRPr="00B51BD8">
              <w:rPr>
                <w:b/>
                <w:vertAlign w:val="superscript"/>
              </w:rPr>
              <w:t>e</w:t>
            </w:r>
            <w:r w:rsidR="006D6F24" w:rsidRPr="00B51BD8">
              <w:rPr>
                <w:b/>
              </w:rPr>
              <w:t xml:space="preserve"> cycle (4</w:t>
            </w:r>
            <w:r w:rsidR="006D6F24" w:rsidRPr="00B51BD8">
              <w:rPr>
                <w:b/>
                <w:vertAlign w:val="superscript"/>
              </w:rPr>
              <w:t>e</w:t>
            </w:r>
            <w:r w:rsidR="003626EC">
              <w:rPr>
                <w:b/>
              </w:rPr>
              <w:t xml:space="preserve"> année)</w:t>
            </w:r>
          </w:p>
          <w:p w:rsidR="006D6F24" w:rsidRPr="003626EC" w:rsidRDefault="006D6F24" w:rsidP="008C5FC4">
            <w:pPr>
              <w:rPr>
                <w:i/>
              </w:rPr>
            </w:pPr>
            <w:r w:rsidRPr="003626EC">
              <w:rPr>
                <w:i/>
              </w:rPr>
              <w:t>Administrées</w:t>
            </w:r>
            <w:r w:rsidR="00636F40" w:rsidRPr="003626EC">
              <w:rPr>
                <w:i/>
              </w:rPr>
              <w:t xml:space="preserve"> à la fin de l’année scolaire, c</w:t>
            </w:r>
            <w:r w:rsidRPr="003626EC">
              <w:rPr>
                <w:i/>
              </w:rPr>
              <w:t xml:space="preserve">elles-ci compteront pour </w:t>
            </w:r>
            <w:r w:rsidR="008F60A9">
              <w:rPr>
                <w:i/>
              </w:rPr>
              <w:t>1</w:t>
            </w:r>
            <w:r w:rsidRPr="003626EC">
              <w:rPr>
                <w:b/>
                <w:i/>
              </w:rPr>
              <w:t>0%</w:t>
            </w:r>
            <w:r w:rsidRPr="003626EC">
              <w:rPr>
                <w:i/>
              </w:rPr>
              <w:t xml:space="preserve"> du résultat de la 3</w:t>
            </w:r>
            <w:r w:rsidRPr="003626EC">
              <w:rPr>
                <w:i/>
                <w:vertAlign w:val="superscript"/>
              </w:rPr>
              <w:t>e</w:t>
            </w:r>
            <w:r w:rsidRPr="003626EC">
              <w:rPr>
                <w:i/>
              </w:rPr>
              <w:t xml:space="preserve"> étape.</w:t>
            </w:r>
          </w:p>
        </w:tc>
      </w:tr>
    </w:tbl>
    <w:p w:rsidR="00F10AE8" w:rsidRDefault="00F10AE8" w:rsidP="006B71E4">
      <w:pPr>
        <w:tabs>
          <w:tab w:val="center" w:pos="4320"/>
          <w:tab w:val="right" w:pos="8640"/>
        </w:tabs>
        <w:spacing w:after="0" w:line="240" w:lineRule="auto"/>
        <w:rPr>
          <w:sz w:val="16"/>
          <w:szCs w:val="16"/>
        </w:rPr>
        <w:sectPr w:rsidR="00F10AE8" w:rsidSect="00AE2507">
          <w:pgSz w:w="12242" w:h="20163" w:code="5"/>
          <w:pgMar w:top="454" w:right="1418" w:bottom="284" w:left="1418" w:header="709" w:footer="709" w:gutter="0"/>
          <w:cols w:space="708"/>
          <w:docGrid w:linePitch="360"/>
        </w:sectPr>
      </w:pPr>
    </w:p>
    <w:p w:rsidR="00FF43E3" w:rsidRDefault="00FF43E3" w:rsidP="00FF43E3">
      <w:pPr>
        <w:rPr>
          <w:sz w:val="16"/>
          <w:szCs w:val="16"/>
        </w:rPr>
      </w:pPr>
    </w:p>
    <w:p w:rsidR="003F2DD3" w:rsidRDefault="003F2DD3" w:rsidP="00FF43E3">
      <w:pPr>
        <w:rPr>
          <w:sz w:val="16"/>
          <w:szCs w:val="16"/>
        </w:rPr>
      </w:pPr>
    </w:p>
    <w:p w:rsidR="003F2DD3" w:rsidRDefault="003F2DD3" w:rsidP="00FF43E3">
      <w:pPr>
        <w:rPr>
          <w:sz w:val="16"/>
          <w:szCs w:val="16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3F2DD3" w:rsidTr="008E4646">
        <w:tc>
          <w:tcPr>
            <w:tcW w:w="9355" w:type="dxa"/>
            <w:shd w:val="clear" w:color="auto" w:fill="C6D9F1" w:themeFill="text2" w:themeFillTint="33"/>
          </w:tcPr>
          <w:p w:rsidR="003F2DD3" w:rsidRPr="003F2DD3" w:rsidRDefault="003F2DD3" w:rsidP="003F2DD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Résultat à un examen ou note au bulletin</w:t>
            </w:r>
          </w:p>
        </w:tc>
      </w:tr>
      <w:tr w:rsidR="003F2DD3" w:rsidTr="008E4646">
        <w:tc>
          <w:tcPr>
            <w:tcW w:w="9355" w:type="dxa"/>
          </w:tcPr>
          <w:p w:rsidR="003F2DD3" w:rsidRDefault="003F2DD3" w:rsidP="003F2DD3">
            <w:pPr>
              <w:pStyle w:val="Default"/>
              <w:rPr>
                <w:sz w:val="22"/>
                <w:szCs w:val="22"/>
              </w:rPr>
            </w:pPr>
          </w:p>
          <w:p w:rsidR="003F2DD3" w:rsidRDefault="003F2DD3" w:rsidP="003F2D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L’enseignant est responsable de l’évaluation de ses élèves. Il assure un suivi auprès des parents et des élèves qui en font la demande. </w:t>
            </w:r>
          </w:p>
          <w:p w:rsidR="003F2DD3" w:rsidRDefault="003F2DD3" w:rsidP="003F2DD3">
            <w:pPr>
              <w:pStyle w:val="Default"/>
              <w:rPr>
                <w:sz w:val="22"/>
                <w:szCs w:val="22"/>
              </w:rPr>
            </w:pPr>
          </w:p>
          <w:p w:rsidR="003F2DD3" w:rsidRPr="003F2DD3" w:rsidRDefault="003F2DD3" w:rsidP="003F2DD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L’enseignant communique les résultats d’évaluation selon les modalités convenues en début d’année avec ses collègues. </w:t>
            </w:r>
          </w:p>
          <w:p w:rsidR="003F2DD3" w:rsidRPr="00D15466" w:rsidRDefault="003F2DD3" w:rsidP="003F2DD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L’enseignant informe les parents, en début d’année</w:t>
            </w:r>
            <w:r>
              <w:rPr>
                <w:sz w:val="22"/>
                <w:szCs w:val="22"/>
              </w:rPr>
              <w:t xml:space="preserve"> des modalités pour le joindre </w:t>
            </w:r>
            <w:r>
              <w:rPr>
                <w:sz w:val="22"/>
                <w:szCs w:val="22"/>
              </w:rPr>
              <w:t xml:space="preserve">lorsqu’ils ont des questions ou des besoins de clarification dans les jours suivants la prise de connaissance des résultats. </w:t>
            </w:r>
          </w:p>
          <w:p w:rsidR="003F2DD3" w:rsidRDefault="003F2DD3" w:rsidP="003F2DD3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L’école met à la disposition des parents et des élèves un formulaire de demande officielle de révision de résultat sur son site Internet et en version papier au secrétariat afin que ceux-ci puissent faire une demande formelle de révision d’un résultat à la direction (réf. Règlement du ministre en application de l’art. 96.15 de la LIP). </w:t>
            </w:r>
          </w:p>
          <w:p w:rsidR="003F2DD3" w:rsidRDefault="003F2DD3" w:rsidP="003F2DD3">
            <w:pPr>
              <w:pStyle w:val="Paragraphedeliste"/>
            </w:pPr>
          </w:p>
          <w:p w:rsidR="003F2DD3" w:rsidRDefault="003F2DD3" w:rsidP="00D15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 de remplir la demande officielle de révision du résultat, nous recommandons aux parents :</w:t>
            </w:r>
          </w:p>
          <w:p w:rsidR="003F2DD3" w:rsidRPr="003F2DD3" w:rsidRDefault="003F2DD3" w:rsidP="00D15466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1) De </w:t>
            </w:r>
            <w:r w:rsidRPr="003F2DD3">
              <w:rPr>
                <w:iCs/>
                <w:sz w:val="22"/>
                <w:szCs w:val="22"/>
              </w:rPr>
              <w:t>discut</w:t>
            </w:r>
            <w:r>
              <w:rPr>
                <w:iCs/>
                <w:sz w:val="22"/>
                <w:szCs w:val="22"/>
              </w:rPr>
              <w:t>er</w:t>
            </w:r>
            <w:r w:rsidRPr="003F2DD3">
              <w:rPr>
                <w:iCs/>
                <w:sz w:val="22"/>
                <w:szCs w:val="22"/>
              </w:rPr>
              <w:t xml:space="preserve"> avec l’enseignant de</w:t>
            </w:r>
            <w:r>
              <w:rPr>
                <w:iCs/>
                <w:sz w:val="22"/>
                <w:szCs w:val="22"/>
              </w:rPr>
              <w:t xml:space="preserve"> l’</w:t>
            </w:r>
            <w:r w:rsidRPr="003F2DD3">
              <w:rPr>
                <w:iCs/>
                <w:sz w:val="22"/>
                <w:szCs w:val="22"/>
              </w:rPr>
              <w:t>enfant du résultat</w:t>
            </w:r>
            <w:r>
              <w:rPr>
                <w:iCs/>
                <w:sz w:val="22"/>
                <w:szCs w:val="22"/>
              </w:rPr>
              <w:t>.</w:t>
            </w:r>
          </w:p>
          <w:p w:rsidR="003F2DD3" w:rsidRPr="003F2DD3" w:rsidRDefault="003F2DD3" w:rsidP="003F2DD3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2) De </w:t>
            </w:r>
            <w:r w:rsidRPr="003F2DD3">
              <w:rPr>
                <w:iCs/>
                <w:sz w:val="22"/>
                <w:szCs w:val="22"/>
              </w:rPr>
              <w:t>demand</w:t>
            </w:r>
            <w:r>
              <w:rPr>
                <w:iCs/>
                <w:sz w:val="22"/>
                <w:szCs w:val="22"/>
              </w:rPr>
              <w:t>er</w:t>
            </w:r>
            <w:r w:rsidRPr="003F2DD3">
              <w:rPr>
                <w:iCs/>
                <w:sz w:val="22"/>
                <w:szCs w:val="22"/>
              </w:rPr>
              <w:t xml:space="preserve"> à l’enseignant des précisions concernant le résu</w:t>
            </w:r>
            <w:r>
              <w:rPr>
                <w:iCs/>
                <w:sz w:val="22"/>
                <w:szCs w:val="22"/>
              </w:rPr>
              <w:t>ltat.</w:t>
            </w:r>
            <w:r w:rsidRPr="003F2DD3">
              <w:rPr>
                <w:iCs/>
                <w:sz w:val="22"/>
                <w:szCs w:val="22"/>
              </w:rPr>
              <w:t xml:space="preserve"> </w:t>
            </w:r>
          </w:p>
          <w:p w:rsidR="003F2DD3" w:rsidRPr="003F2DD3" w:rsidRDefault="003F2DD3" w:rsidP="00D15466">
            <w:pPr>
              <w:pStyle w:val="Default"/>
              <w:jc w:val="both"/>
              <w:rPr>
                <w:sz w:val="22"/>
                <w:szCs w:val="22"/>
              </w:rPr>
            </w:pPr>
            <w:r w:rsidRPr="003F2DD3">
              <w:rPr>
                <w:iCs/>
                <w:sz w:val="22"/>
                <w:szCs w:val="22"/>
              </w:rPr>
              <w:t xml:space="preserve">3) </w:t>
            </w:r>
            <w:r>
              <w:rPr>
                <w:iCs/>
                <w:sz w:val="22"/>
                <w:szCs w:val="22"/>
              </w:rPr>
              <w:t>De vérifier auprès de l’enseignant</w:t>
            </w:r>
            <w:r w:rsidRPr="003F2DD3">
              <w:rPr>
                <w:iCs/>
                <w:sz w:val="22"/>
                <w:szCs w:val="22"/>
              </w:rPr>
              <w:t xml:space="preserve"> ce</w:t>
            </w:r>
            <w:r w:rsidR="00D15466">
              <w:rPr>
                <w:iCs/>
                <w:sz w:val="22"/>
                <w:szCs w:val="22"/>
              </w:rPr>
              <w:t xml:space="preserve"> qu’il peut faire comme parent</w:t>
            </w:r>
            <w:r w:rsidRPr="003F2DD3">
              <w:rPr>
                <w:iCs/>
                <w:sz w:val="22"/>
                <w:szCs w:val="22"/>
              </w:rPr>
              <w:t xml:space="preserve"> pour </w:t>
            </w:r>
            <w:r w:rsidR="00D15466">
              <w:rPr>
                <w:iCs/>
                <w:sz w:val="22"/>
                <w:szCs w:val="22"/>
              </w:rPr>
              <w:t xml:space="preserve">le </w:t>
            </w:r>
            <w:r w:rsidRPr="003F2DD3">
              <w:rPr>
                <w:iCs/>
                <w:sz w:val="22"/>
                <w:szCs w:val="22"/>
              </w:rPr>
              <w:t>soutenir</w:t>
            </w:r>
            <w:r w:rsidR="00D15466">
              <w:rPr>
                <w:iCs/>
                <w:sz w:val="22"/>
                <w:szCs w:val="22"/>
              </w:rPr>
              <w:t xml:space="preserve"> </w:t>
            </w:r>
            <w:r w:rsidRPr="003F2DD3">
              <w:rPr>
                <w:iCs/>
                <w:sz w:val="22"/>
                <w:szCs w:val="22"/>
              </w:rPr>
              <w:t>en vue de la prochaine</w:t>
            </w:r>
            <w:r w:rsidR="00D15466">
              <w:rPr>
                <w:iCs/>
                <w:sz w:val="22"/>
                <w:szCs w:val="22"/>
              </w:rPr>
              <w:t xml:space="preserve"> évaluation.</w:t>
            </w:r>
          </w:p>
          <w:p w:rsidR="003F2DD3" w:rsidRDefault="003F2DD3" w:rsidP="003F2DD3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F2DD3" w:rsidRDefault="003F2DD3" w:rsidP="00FF43E3">
            <w:pPr>
              <w:rPr>
                <w:sz w:val="16"/>
                <w:szCs w:val="16"/>
              </w:rPr>
            </w:pPr>
          </w:p>
        </w:tc>
      </w:tr>
    </w:tbl>
    <w:p w:rsidR="003F2DD3" w:rsidRPr="00FF43E3" w:rsidRDefault="003F2DD3" w:rsidP="00FF43E3">
      <w:pPr>
        <w:rPr>
          <w:sz w:val="16"/>
          <w:szCs w:val="16"/>
        </w:rPr>
      </w:pPr>
    </w:p>
    <w:p w:rsidR="00FF43E3" w:rsidRDefault="00FF43E3" w:rsidP="00FF43E3">
      <w:pPr>
        <w:rPr>
          <w:sz w:val="16"/>
          <w:szCs w:val="16"/>
        </w:rPr>
      </w:pPr>
    </w:p>
    <w:p w:rsidR="00D15466" w:rsidRPr="00FF43E3" w:rsidRDefault="00D15466" w:rsidP="00FF43E3">
      <w:pPr>
        <w:rPr>
          <w:sz w:val="16"/>
          <w:szCs w:val="16"/>
        </w:rPr>
      </w:pPr>
      <w:r>
        <w:rPr>
          <w:sz w:val="16"/>
          <w:szCs w:val="16"/>
        </w:rPr>
        <w:t>Normes et modalités d’évaluation approuvées par le conseil d’établissement le _________________________</w:t>
      </w:r>
    </w:p>
    <w:p w:rsidR="00FF43E3" w:rsidRPr="00FF43E3" w:rsidRDefault="00FF43E3" w:rsidP="00FF43E3">
      <w:pPr>
        <w:rPr>
          <w:sz w:val="16"/>
          <w:szCs w:val="16"/>
        </w:rPr>
      </w:pPr>
    </w:p>
    <w:p w:rsidR="00FF43E3" w:rsidRPr="00FF43E3" w:rsidRDefault="00FF43E3" w:rsidP="00FF43E3">
      <w:pPr>
        <w:rPr>
          <w:sz w:val="16"/>
          <w:szCs w:val="16"/>
        </w:rPr>
      </w:pPr>
    </w:p>
    <w:p w:rsidR="00FF43E3" w:rsidRPr="00FF43E3" w:rsidRDefault="00FF43E3" w:rsidP="00FF43E3">
      <w:pPr>
        <w:rPr>
          <w:sz w:val="16"/>
          <w:szCs w:val="16"/>
        </w:rPr>
      </w:pPr>
    </w:p>
    <w:p w:rsidR="00FF43E3" w:rsidRPr="00FF43E3" w:rsidRDefault="00FF43E3" w:rsidP="00FF43E3">
      <w:pPr>
        <w:rPr>
          <w:sz w:val="16"/>
          <w:szCs w:val="16"/>
        </w:rPr>
      </w:pPr>
    </w:p>
    <w:p w:rsidR="00FF43E3" w:rsidRPr="00FF43E3" w:rsidRDefault="00FF43E3" w:rsidP="00FF43E3">
      <w:pPr>
        <w:rPr>
          <w:sz w:val="16"/>
          <w:szCs w:val="16"/>
        </w:rPr>
      </w:pPr>
    </w:p>
    <w:p w:rsidR="00FF43E3" w:rsidRPr="00FF43E3" w:rsidRDefault="00FF43E3" w:rsidP="00FF43E3">
      <w:pPr>
        <w:rPr>
          <w:sz w:val="16"/>
          <w:szCs w:val="16"/>
        </w:rPr>
      </w:pPr>
    </w:p>
    <w:p w:rsidR="00E01D8B" w:rsidRPr="00FF43E3" w:rsidRDefault="00E01D8B" w:rsidP="00FF43E3">
      <w:pPr>
        <w:tabs>
          <w:tab w:val="left" w:pos="1665"/>
        </w:tabs>
        <w:rPr>
          <w:sz w:val="16"/>
          <w:szCs w:val="16"/>
        </w:rPr>
      </w:pPr>
      <w:bookmarkStart w:id="0" w:name="_GoBack"/>
      <w:bookmarkEnd w:id="0"/>
    </w:p>
    <w:sectPr w:rsidR="00E01D8B" w:rsidRPr="00FF43E3" w:rsidSect="003F2DD3">
      <w:pgSz w:w="12240" w:h="15840" w:code="1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ED" w:rsidRDefault="008F55ED" w:rsidP="00DF7CA0">
      <w:pPr>
        <w:spacing w:after="0" w:line="240" w:lineRule="auto"/>
      </w:pPr>
      <w:r>
        <w:separator/>
      </w:r>
    </w:p>
  </w:endnote>
  <w:endnote w:type="continuationSeparator" w:id="0">
    <w:p w:rsidR="008F55ED" w:rsidRDefault="008F55ED" w:rsidP="00DF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ED" w:rsidRDefault="008F55ED" w:rsidP="00DF7CA0">
      <w:pPr>
        <w:spacing w:after="0" w:line="240" w:lineRule="auto"/>
      </w:pPr>
      <w:r>
        <w:separator/>
      </w:r>
    </w:p>
  </w:footnote>
  <w:footnote w:type="continuationSeparator" w:id="0">
    <w:p w:rsidR="008F55ED" w:rsidRDefault="008F55ED" w:rsidP="00DF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08F"/>
    <w:multiLevelType w:val="hybridMultilevel"/>
    <w:tmpl w:val="5D4EDA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63E"/>
    <w:multiLevelType w:val="hybridMultilevel"/>
    <w:tmpl w:val="9904CA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C93"/>
    <w:multiLevelType w:val="hybridMultilevel"/>
    <w:tmpl w:val="0C6283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E"/>
    <w:rsid w:val="0000486A"/>
    <w:rsid w:val="00005B18"/>
    <w:rsid w:val="000414D0"/>
    <w:rsid w:val="00063827"/>
    <w:rsid w:val="000A4174"/>
    <w:rsid w:val="000A56AE"/>
    <w:rsid w:val="000A6F0D"/>
    <w:rsid w:val="00115EAB"/>
    <w:rsid w:val="0012119C"/>
    <w:rsid w:val="00133E73"/>
    <w:rsid w:val="001677FB"/>
    <w:rsid w:val="00171364"/>
    <w:rsid w:val="00176F4A"/>
    <w:rsid w:val="00183FD6"/>
    <w:rsid w:val="001961C7"/>
    <w:rsid w:val="001C7C54"/>
    <w:rsid w:val="001E455B"/>
    <w:rsid w:val="0021235A"/>
    <w:rsid w:val="00216007"/>
    <w:rsid w:val="00230EFB"/>
    <w:rsid w:val="00240E49"/>
    <w:rsid w:val="00265C02"/>
    <w:rsid w:val="002908C0"/>
    <w:rsid w:val="002E6EBF"/>
    <w:rsid w:val="002F720F"/>
    <w:rsid w:val="00300BF9"/>
    <w:rsid w:val="0031409E"/>
    <w:rsid w:val="003303C4"/>
    <w:rsid w:val="00331C22"/>
    <w:rsid w:val="003411C9"/>
    <w:rsid w:val="003626EC"/>
    <w:rsid w:val="00364D8E"/>
    <w:rsid w:val="00365858"/>
    <w:rsid w:val="003A0CA3"/>
    <w:rsid w:val="003F2DD3"/>
    <w:rsid w:val="00431AD6"/>
    <w:rsid w:val="00436EA5"/>
    <w:rsid w:val="0047759C"/>
    <w:rsid w:val="00494D93"/>
    <w:rsid w:val="004D18C5"/>
    <w:rsid w:val="004D1D1C"/>
    <w:rsid w:val="004D4185"/>
    <w:rsid w:val="004D4745"/>
    <w:rsid w:val="00550157"/>
    <w:rsid w:val="005534AA"/>
    <w:rsid w:val="00583AD9"/>
    <w:rsid w:val="005A03AE"/>
    <w:rsid w:val="005A313B"/>
    <w:rsid w:val="005B22E1"/>
    <w:rsid w:val="005D0CCE"/>
    <w:rsid w:val="005F18AE"/>
    <w:rsid w:val="00636F40"/>
    <w:rsid w:val="00665BF1"/>
    <w:rsid w:val="00675870"/>
    <w:rsid w:val="00690CD1"/>
    <w:rsid w:val="006910E1"/>
    <w:rsid w:val="006B71E4"/>
    <w:rsid w:val="006C6879"/>
    <w:rsid w:val="006D6F24"/>
    <w:rsid w:val="00712B95"/>
    <w:rsid w:val="00736BDB"/>
    <w:rsid w:val="0074134C"/>
    <w:rsid w:val="00744A6E"/>
    <w:rsid w:val="00784773"/>
    <w:rsid w:val="00792401"/>
    <w:rsid w:val="007C3673"/>
    <w:rsid w:val="007D3F77"/>
    <w:rsid w:val="007D534A"/>
    <w:rsid w:val="00817BA3"/>
    <w:rsid w:val="0083593D"/>
    <w:rsid w:val="00856AC1"/>
    <w:rsid w:val="008747C9"/>
    <w:rsid w:val="008833DA"/>
    <w:rsid w:val="008A5CD2"/>
    <w:rsid w:val="008D4987"/>
    <w:rsid w:val="008E4646"/>
    <w:rsid w:val="008F55ED"/>
    <w:rsid w:val="008F60A9"/>
    <w:rsid w:val="008F6830"/>
    <w:rsid w:val="00951EB9"/>
    <w:rsid w:val="009745C4"/>
    <w:rsid w:val="00987383"/>
    <w:rsid w:val="00995541"/>
    <w:rsid w:val="00995D12"/>
    <w:rsid w:val="009F4DC6"/>
    <w:rsid w:val="00A12EA5"/>
    <w:rsid w:val="00A32BFE"/>
    <w:rsid w:val="00A45D53"/>
    <w:rsid w:val="00A46859"/>
    <w:rsid w:val="00A565CA"/>
    <w:rsid w:val="00A57AFD"/>
    <w:rsid w:val="00A676F4"/>
    <w:rsid w:val="00A91FB3"/>
    <w:rsid w:val="00AB4A29"/>
    <w:rsid w:val="00AC5CE7"/>
    <w:rsid w:val="00AE2507"/>
    <w:rsid w:val="00AE7443"/>
    <w:rsid w:val="00B00745"/>
    <w:rsid w:val="00B22850"/>
    <w:rsid w:val="00B51BD8"/>
    <w:rsid w:val="00B61AB0"/>
    <w:rsid w:val="00B874C2"/>
    <w:rsid w:val="00B970BF"/>
    <w:rsid w:val="00BA73D0"/>
    <w:rsid w:val="00BB0F83"/>
    <w:rsid w:val="00BF5E53"/>
    <w:rsid w:val="00C074C2"/>
    <w:rsid w:val="00C0763F"/>
    <w:rsid w:val="00C26A9A"/>
    <w:rsid w:val="00C407D4"/>
    <w:rsid w:val="00C64F95"/>
    <w:rsid w:val="00CA42DD"/>
    <w:rsid w:val="00CB2BC1"/>
    <w:rsid w:val="00D037EC"/>
    <w:rsid w:val="00D06469"/>
    <w:rsid w:val="00D15466"/>
    <w:rsid w:val="00D41F3F"/>
    <w:rsid w:val="00D60D28"/>
    <w:rsid w:val="00D6574E"/>
    <w:rsid w:val="00D92179"/>
    <w:rsid w:val="00DA24A4"/>
    <w:rsid w:val="00DC423A"/>
    <w:rsid w:val="00DF7CA0"/>
    <w:rsid w:val="00E003BD"/>
    <w:rsid w:val="00E01D8B"/>
    <w:rsid w:val="00E06CE9"/>
    <w:rsid w:val="00E24BCD"/>
    <w:rsid w:val="00E25873"/>
    <w:rsid w:val="00E321EE"/>
    <w:rsid w:val="00E53B03"/>
    <w:rsid w:val="00E70194"/>
    <w:rsid w:val="00EC0C4A"/>
    <w:rsid w:val="00EC766A"/>
    <w:rsid w:val="00F01157"/>
    <w:rsid w:val="00F10AE8"/>
    <w:rsid w:val="00F13E77"/>
    <w:rsid w:val="00F2167B"/>
    <w:rsid w:val="00F25EA6"/>
    <w:rsid w:val="00F33D07"/>
    <w:rsid w:val="00FA3FD3"/>
    <w:rsid w:val="00FC2BBF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8E4220"/>
  <w15:docId w15:val="{C5C0A9E2-F26E-4670-B481-781422A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34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7C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CA0"/>
  </w:style>
  <w:style w:type="paragraph" w:styleId="Pieddepage">
    <w:name w:val="footer"/>
    <w:basedOn w:val="Normal"/>
    <w:link w:val="PieddepageCar"/>
    <w:uiPriority w:val="99"/>
    <w:unhideWhenUsed/>
    <w:rsid w:val="00DF7C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CA0"/>
  </w:style>
  <w:style w:type="character" w:styleId="Lienhypertexte">
    <w:name w:val="Hyperlink"/>
    <w:rsid w:val="00DF7CA0"/>
    <w:rPr>
      <w:color w:val="0000FF"/>
      <w:u w:val="single"/>
    </w:rPr>
  </w:style>
  <w:style w:type="paragraph" w:customStyle="1" w:styleId="Default">
    <w:name w:val="Default"/>
    <w:rsid w:val="003F2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Usagers</dc:creator>
  <cp:lastModifiedBy>Baril Marie-Josée</cp:lastModifiedBy>
  <cp:revision>3</cp:revision>
  <cp:lastPrinted>2016-10-18T18:05:00Z</cp:lastPrinted>
  <dcterms:created xsi:type="dcterms:W3CDTF">2022-11-04T17:37:00Z</dcterms:created>
  <dcterms:modified xsi:type="dcterms:W3CDTF">2022-11-04T18:09:00Z</dcterms:modified>
</cp:coreProperties>
</file>